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BAVO (Brandenburg) — Schlußbestimmungen</w:t>
      </w:r>
    </w:p>
    <w:p>
      <w:r>
        <w:rPr>
          <w:color w:val="555555"/>
          <w:sz w:val="18"/>
        </w:rPr>
        <w:t xml:space="preserve">Bahnaufsichts-VO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 Verordnung tritt am 1. Mai 1976 in Kraft.</w:t>
      </w:r>
    </w:p>
    <w:p>
      <w:r>
        <w:t xml:space="preserve">(2) aufgehoben</w:t>
      </w:r>
    </w:p>
    <w:p>
      <w:r>
        <w:rPr>
          <w:color w:val="555555"/>
          <w:sz w:val="17"/>
        </w:rPr>
        <w:t xml:space="preserve">Zitiervorschlag: § 14 BAVO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https://recht.nulegal.eu/gesetze/BAVO/14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