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BAVO (Brandenburg) — Gebühren</w:t>
      </w:r>
    </w:p>
    <w:p>
      <w:r>
        <w:rPr>
          <w:color w:val="555555"/>
          <w:sz w:val="18"/>
        </w:rPr>
        <w:t xml:space="preserve">Bahnaufsichts-VO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Für die Tätigkeit der Staatlichen Bahnaufsicht</w:t>
      </w:r>
    </w:p>
    <w:p>
      <w:r>
        <w:t xml:space="preserve">werden Gebühren gemäß den geltenden Rechtsvorschriften erhoben.</w:t>
      </w:r>
    </w:p>
    <w:p>
      <w:r>
        <w:rPr>
          <w:color w:val="555555"/>
          <w:sz w:val="17"/>
        </w:rPr>
        <w:t xml:space="preserve">Zitiervorschlag: § 13 BAVO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https://recht.nulegal.eu/gesetze/BAVO/13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