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BAVO (Brandenburg) — Ordnungsstrafbestimmungen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vorsätzlich oder fahrlässig als Leiter oder</w:t>
      </w:r>
    </w:p>
    <w:p>
      <w:r>
        <w:t xml:space="preserve">leitender Mitarbeiter gegen die Bestimmungen des § 7 Abs. 1 Satz 1 oder</w:t>
      </w:r>
    </w:p>
    <w:p>
      <w:r>
        <w:t xml:space="preserve">gegen Entscheidungen und Auflagen gemäß § 6 Abs. 4 Buchstaben b</w:t>
      </w:r>
    </w:p>
    <w:p>
      <w:r>
        <w:t xml:space="preserve">und c verstößt, kann mit Verweis oder Ordnungsstrafe in Höhe</w:t>
      </w:r>
    </w:p>
    <w:p>
      <w:r>
        <w:t xml:space="preserve">von 10 bis 300 M belegt werden.</w:t>
      </w:r>
    </w:p>
    <w:p>
      <w:r>
        <w:t xml:space="preserve">(2) Die Durchführung des Ordnungsstrafverfahrens obliegt</w:t>
      </w:r>
    </w:p>
    <w:p>
      <w:r>
        <w:t xml:space="preserve">den Leitern der Bezirksstellen der Staatlichen Bahnaufsicht.</w:t>
      </w:r>
    </w:p>
    <w:p>
      <w:r>
        <w:t xml:space="preserve">V.</w:t>
      </w:r>
    </w:p>
    <w:p>
      <w:r>
        <w:t xml:space="preserve">Gebühren und Schlußbestimmungen</w:t>
      </w:r>
    </w:p>
    <w:p>
      <w:r>
        <w:rPr>
          <w:color w:val="555555"/>
          <w:sz w:val="17"/>
        </w:rPr>
        <w:t xml:space="preserve">Zitiervorschlag: § 12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