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BAVBVO — Leistungsbewertung</w:t>
      </w:r>
    </w:p>
    <w:p>
      <w:r>
        <w:rPr>
          <w:color w:val="555555"/>
          <w:sz w:val="18"/>
        </w:rPr>
        <w:t xml:space="preserve">Berufsausbildungsvorbereitungs-Bescheinigungsverordnung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die teilnehmende Person das Qualifizierungsziel erreicht, gelten folgende Bewertungen:</w:t>
      </w:r>
    </w:p>
    <w:p>
      <w:pPr>
        <w:ind w:left="420"/>
      </w:pPr>
      <w:r>
        <w:t xml:space="preserve">1. "hat das Qualifizierungsziel mit gutem Erfolg erreicht", wenn die Leistung den Anforderungen voll entspricht,</w:t>
      </w:r>
    </w:p>
    <w:p>
      <w:pPr>
        <w:ind w:left="420"/>
      </w:pPr>
      <w:r>
        <w:t xml:space="preserve">2. "hat das Qualifizierungsziel mit Erfolg erreicht", wenn die Leistung den Anforderungen auch unter Berücksichtigung von Mängeln im Allgemeinen entspricht.</w:t>
      </w:r>
    </w:p>
    <w:p>
      <w:r>
        <w:rPr>
          <w:color w:val="555555"/>
          <w:sz w:val="17"/>
        </w:rPr>
        <w:t xml:space="preserve">Zitiervorschlag: § 6 BAVBVO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https://recht.nulegal.eu/gesetze/BAVBVO/6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