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BATZV</w:t>
      </w:r>
    </w:p>
    <w:p>
      <w:r>
        <w:rPr>
          <w:color w:val="555555"/>
          <w:sz w:val="18"/>
        </w:rPr>
        <w:t xml:space="preserve">Beamtenaltersteilzeitverordnung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93 Absatz 5 des Bundesbeamtengesetzes, der durch Artikel 11 Nummer 2 Buchstabe a des Gesetzes vom 19. November 2010 (BGBl. I S. 1552) eingefügt worden ist, verordnet das Bundesministerium des Innern im Einvernehmen mit dem Bundesministerium der Finanzen:</w:t>
      </w:r>
    </w:p>
    <w:p>
      <w:r>
        <w:rPr>
          <w:color w:val="555555"/>
          <w:sz w:val="17"/>
        </w:rPr>
        <w:t xml:space="preserve">Zitiervorschlag: Eingangsformel BATZV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https://recht.nulegal.eu/gesetze/BATZV/eingangsformel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