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BATZV — Inkrafttreten</w:t>
      </w:r>
    </w:p>
    <w:p>
      <w:r>
        <w:rPr>
          <w:color w:val="555555"/>
          <w:sz w:val="18"/>
        </w:rPr>
        <w:t xml:space="preserve">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