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BATZV — Antrag</w:t>
      </w:r>
    </w:p>
    <w:p>
      <w:r>
        <w:rPr>
          <w:color w:val="555555"/>
          <w:sz w:val="18"/>
        </w:rPr>
        <w:t xml:space="preserve">Beamtenaltersteilzeitverordnung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Altersteilzeit kann frühestens ein Jahr vor Erfüllung der Voraussetzungen nach § 93 Absatz 3 oder Absatz 4 des Bundesbeamtengesetzes und spätestens drei Monate vor Beginn der Altersteilzeit beantragt werden. Sie kann entweder im Blockmodell oder im Teilzeitmodell bis zum Eintritt in den Ruhestand beantragt werden.</w:t>
      </w:r>
    </w:p>
    <w:p>
      <w:r>
        <w:rPr>
          <w:color w:val="555555"/>
          <w:sz w:val="17"/>
        </w:rPr>
        <w:t xml:space="preserve">Zitiervorschlag: § 3 BATZV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https://recht.nulegal.eu/gesetze/BATZV/3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