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BATZV — Ermittlung der Quote</w:t>
      </w:r>
    </w:p>
    <w:p>
      <w:r>
        <w:rPr>
          <w:color w:val="555555"/>
          <w:sz w:val="18"/>
        </w:rPr>
        <w:t xml:space="preserve">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Quote für die Altersteilzeit nach § 93 Absatz 4 des Bundesbeamtengesetzes wird jährlich für das laufende Kalenderjahr auf der Grundlage der Statistik nach § 1 Nummer 4 des Finanz- und Personalstatistikgesetzes aus dem Verhältnis der Zahl der Beamtinnen und Beamten und der Zahl der bestehenden Altersteilzeitverhältnisse ermittelt. Bei der Ermittlung der Quote werden auch beurlaubte Beamtinnen und Beamte berücksichtigt; Beamtinnen und Beamte auf Widerruf im Vorbereitungsdienst werden nicht berücksichtigt. Stichtag für die Ermittlung der Quote ist der 30. Juni des Vorjahres.</w:t>
      </w:r>
    </w:p>
    <w:p>
      <w:r>
        <w:t xml:space="preserve">(2) Die oberste Dienstbehörde kann die Quote ermitteln</w:t>
      </w:r>
    </w:p>
    <w:p>
      <w:pPr>
        <w:ind w:left="420"/>
      </w:pPr>
      <w:r>
        <w:t xml:space="preserve">1. als Ressortquote für sich und ihren nachgeordneten Geschäftsbereich oder</w:t>
      </w:r>
    </w:p>
    <w:p>
      <w:pPr>
        <w:ind w:left="420"/>
      </w:pPr>
      <w:r>
        <w:t xml:space="preserve">2. als Behördenquote für jede Behörde oder Dienststelle ihres Geschäftsbereichs oder für mehrere Behörden oder Dienststellen gemeinsam.</w:t>
      </w:r>
    </w:p>
    <w:p>
      <w:r>
        <w:t xml:space="preserve">(3) Ergeben sich bei der Berechnung der Zahl der Beamtinnen und Beamten, denen Altersteilzeit bewilligt werden kann, Bruchteile, so wird auf ganze Zahlen abgerundet.</w:t>
      </w:r>
    </w:p>
    <w:p>
      <w:r>
        <w:rPr>
          <w:color w:val="555555"/>
          <w:sz w:val="17"/>
        </w:rPr>
        <w:t xml:space="preserve">Zitiervorschlag: § 2 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