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BASPOErmV — Inkrafttreten</w:t>
      </w:r>
    </w:p>
    <w:p>
      <w:r>
        <w:rPr>
          <w:color w:val="555555"/>
          <w:sz w:val="18"/>
        </w:rPr>
        <w:t xml:space="preserve">BAS-Prüfungsordnungsermächtigungsverordnung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BASPOErmV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https://recht.nulegal.eu/gesetze/BASPOErmV/2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