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BAProVFFPrV — (zu § 17) Zeugnisinhalte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378, S. 11)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der Prüfungsteile,</w:t>
      </w:r>
    </w:p>
    <w:p>
      <w:pPr>
        <w:ind w:left="420"/>
      </w:pPr>
      <w:r>
        <w:t xml:space="preserve">2. Bewertung des Prüfungsteils „Kundenbedarfsfelder“,</w:t>
      </w:r>
    </w:p>
    <w:p>
      <w:pPr>
        <w:ind w:left="420"/>
      </w:pPr>
      <w:r>
        <w:t xml:space="preserve">3. Bewertung des Prüfungsteils „Kernprozesse, Steuerung und Zusammenarbeit“,</w:t>
      </w:r>
    </w:p>
    <w:p>
      <w:pPr>
        <w:ind w:left="420"/>
      </w:pPr>
      <w:r>
        <w:t xml:space="preserve">4. Bewertung der im Prüfungsteil „Kundenbedarfsfelder“ erbrachten Prüfungsleistungen nach § 11,</w:t>
      </w:r>
    </w:p>
    <w:p>
      <w:pPr>
        <w:ind w:left="420"/>
      </w:pPr>
      <w:r>
        <w:t xml:space="preserve">5. Bewertung der im Prüfungsteil „Kernprozesse, Steuerung und Zusammenarbeit“ erbrachten Prüfungsleistungen nach § 12,</w:t>
      </w:r>
    </w:p>
    <w:p>
      <w:pPr>
        <w:ind w:left="420"/>
      </w:pPr>
      <w:r>
        <w:t xml:space="preserve">6. Benennung des Themas der schriftlichen Praxistransferarbeit nach § 13 Absatz 2,</w:t>
      </w:r>
    </w:p>
    <w:p>
      <w:pPr>
        <w:ind w:left="420"/>
      </w:pPr>
      <w:r>
        <w:t xml:space="preserve">7. Bewertungen der im Prüfungsteil „Kernprozesse, Steuerung und Zusammenarbeit“ erbrachten Prüfungsleistungen nach § 13,</w:t>
      </w:r>
    </w:p>
    <w:p>
      <w:pPr>
        <w:ind w:left="420"/>
      </w:pPr>
      <w:r>
        <w:t xml:space="preserve">8. die errechnete Gesamtpunktzahl für die gesamte Prüfung,</w:t>
      </w:r>
    </w:p>
    <w:p>
      <w:pPr>
        <w:ind w:left="420"/>
      </w:pPr>
      <w:r>
        <w:t xml:space="preserve">9. die Gesamtnote als Dezimalzahl,</w:t>
      </w:r>
    </w:p>
    <w:p>
      <w:pPr>
        <w:ind w:left="420"/>
      </w:pPr>
      <w:r>
        <w:t xml:space="preserve">10. die Gesamtnote in Worten und</w:t>
      </w:r>
    </w:p>
    <w:p>
      <w:pPr>
        <w:ind w:left="420"/>
      </w:pPr>
      <w:r>
        <w:t xml:space="preserve">11. Befreiungen nach § 16</w:t>
      </w:r>
    </w:p>
    <w:p>
      <w:r>
        <w:rPr>
          <w:color w:val="555555"/>
          <w:sz w:val="17"/>
        </w:rPr>
        <w:t xml:space="preserve">Zitiervorschlag: Anlage 2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