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BAProVFFPrV — Ausbildereignung</w:t>
      </w:r>
    </w:p>
    <w:p>
      <w:r>
        <w:rPr>
          <w:color w:val="555555"/>
          <w:sz w:val="18"/>
        </w:rPr>
        <w:t xml:space="preserve">Bachelor-Professional-Versicherungen-und-Finanzanlagen-Fortbildungsprüfungsverordnung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Mit der erfolgreich abgelegten Prüfung nach dieser Verordnung wurden auch die berufs- und arbeitspädagogischen Fertigkeiten, Kenntnisse und Fähigkeiten nach der nach dem Berufsbildungsgesetz erlassenen Ausbilder-Eignungsverordnung nachgewiesen. Der zu prüfenden Person ist das Zeugnis nach § 5 der Ausbilder-Eignungsverordnung auszustellen.</w:t>
      </w:r>
    </w:p>
    <w:p>
      <w:r>
        <w:rPr>
          <w:color w:val="555555"/>
          <w:sz w:val="17"/>
        </w:rPr>
        <w:t xml:space="preserve">Zitiervorschlag: § 19 BAProVFFPrV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https://recht.nulegal.eu/gesetze/BAProVFFPrV/19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