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BAProVFFPrV — Bewertung der Prüfungsleistungen</w:t>
      </w:r>
    </w:p>
    <w:p>
      <w:r>
        <w:rPr>
          <w:color w:val="555555"/>
          <w:sz w:val="18"/>
        </w:rPr>
        <w:t xml:space="preserve">Bachelor-Professional-Versicherungen-und-Finanzanlagen-Fortbildungsprüfungsverordnung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Im Prüfungsteil „Kundenbedarfsfelder“ ist in der schriftlichen Prüfung die Prüfungsleistung nach § 11 Absatz 3 zu bewerten.</w:t>
      </w:r>
    </w:p>
    <w:p>
      <w:r>
        <w:t xml:space="preserve">(3) Im Prüfungsteil „Kernprozesse, Steuerung und Zusammenarbeit“ sind als Prüfungsleistungen jeweils einzeln zu bewerten:</w:t>
      </w:r>
    </w:p>
    <w:p>
      <w:pPr>
        <w:ind w:left="420"/>
      </w:pPr>
      <w:r>
        <w:t xml:space="preserve">1. in der schriftlichen Prüfung die Prüfungsleistung nach § 12 Absatz 3,</w:t>
      </w:r>
    </w:p>
    <w:p>
      <w:pPr>
        <w:ind w:left="420"/>
      </w:pPr>
      <w:r>
        <w:t xml:space="preserve">2. in der praxisbezogenen Prüfung jeweils</w:t>
      </w:r>
    </w:p>
    <w:p>
      <w:pPr>
        <w:ind w:left="780"/>
      </w:pPr>
      <w:r>
        <w:t xml:space="preserve">a) die schriftliche Praxistransferarbeit nach § 13 Absatz 2 bis 4,</w:t>
      </w:r>
    </w:p>
    <w:p>
      <w:pPr>
        <w:ind w:left="780"/>
      </w:pPr>
      <w:r>
        <w:t xml:space="preserve">b) die Präsentation nach § 13 Absatz 5 und 6,</w:t>
      </w:r>
    </w:p>
    <w:p>
      <w:pPr>
        <w:ind w:left="780"/>
      </w:pPr>
      <w:r>
        <w:t xml:space="preserve">c) das Fachgespräch nach § 13 Absatz 7 und 8.</w:t>
      </w:r>
    </w:p>
    <w:p>
      <w:r>
        <w:rPr>
          <w:color w:val="555555"/>
          <w:sz w:val="17"/>
        </w:rPr>
        <w:t xml:space="preserve">Zitiervorschlag: § 14 BAProVFFPrV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https://recht.nulegal.eu/gesetze/BAProVFFPrV/14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