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BAProVFFPrV — Ziel der Prüfung und Bezeichnung des Fortbildungsabschlusses</w:t>
      </w:r>
    </w:p>
    <w:p>
      <w:r>
        <w:rPr>
          <w:color w:val="555555"/>
          <w:sz w:val="18"/>
        </w:rPr>
        <w:t xml:space="preserve">Bachelor-Professional-Versicherungen-und-Finanzanlagen-Fortbildungsprüfungsverordnung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Mit der erfolgreich abgelegten Prüfung nach dieser Verordnung wird die auf einen beruflichen Aufstieg abzielende Erweiterung der beruflichen Handlungsfähigkeit auf der zweiten beruflichen Fortbildungsstufe der höherqualifizierenden Berufsbildung nachgewiesen.</w:t>
      </w:r>
    </w:p>
    <w:p>
      <w:r>
        <w:t xml:space="preserve">(2) Die Prüfung wird von der nach dem Berufsbildungsgesetz zuständigen Stelle durchgeführt.</w:t>
      </w:r>
    </w:p>
    <w:p>
      <w:r>
        <w:t xml:space="preserve">(3) Durch die Prüfung ist festzustellen, ob die zu prüfende Person in der Lage ist, nach § 53c Absatz 2 Satz 1 des Berufsbildungsgesetzes Fach- und Führungsfunktionen zu übernehmen, in denen zu verantwortende Leitungsprozesse von Organisationen eigenständig gesteuert und eigenständig ausgeführt werden und dafür Mitarbeitende geführt werden. Im Einzelnen umfasst dies insbesondere folgende Tätigkeiten:</w:t>
      </w:r>
    </w:p>
    <w:p>
      <w:pPr>
        <w:ind w:left="420"/>
      </w:pPr>
      <w:r>
        <w:t xml:space="preserve">1. Analysieren von Unternehmensprozessen hinsichtlich möglichen Veränderungspotenzials,</w:t>
      </w:r>
    </w:p>
    <w:p>
      <w:pPr>
        <w:ind w:left="420"/>
      </w:pPr>
      <w:r>
        <w:t xml:space="preserve">2. nachhaltiges, kundenorientiertes und digitales Gestalten von Arbeitsprozessen in der Versicherungswirtschaft,</w:t>
      </w:r>
    </w:p>
    <w:p>
      <w:pPr>
        <w:ind w:left="420"/>
      </w:pPr>
      <w:r>
        <w:t xml:space="preserve">3. Wahrnehmen von Führungsaufgaben und Begleiten von Mitarbeitenden in Veränderungsprozessen unter handlungsorientierter Anwendung von Führungsansätzen und Kommunikationstechniken,</w:t>
      </w:r>
    </w:p>
    <w:p>
      <w:pPr>
        <w:ind w:left="420"/>
      </w:pPr>
      <w:r>
        <w:t xml:space="preserve">4. Übernehmen von Aufgaben in der betrieblichen Ausbildung und Personalentwicklung,</w:t>
      </w:r>
    </w:p>
    <w:p>
      <w:pPr>
        <w:ind w:left="420"/>
      </w:pPr>
      <w:r>
        <w:t xml:space="preserve">5. Initiieren von innovativen, kundenzentrierten Produkt- und Vertriebsstrategien sowie Mitwirken bei deren Umsetzung,</w:t>
      </w:r>
    </w:p>
    <w:p>
      <w:pPr>
        <w:ind w:left="420"/>
      </w:pPr>
      <w:r>
        <w:t xml:space="preserve">6. Initiieren, Konzipieren und Organisieren von Projekten unter systematischer und zielorientierter Anwendung von Projektmanagementmethoden und Kommunikationsmodellen,</w:t>
      </w:r>
    </w:p>
    <w:p>
      <w:pPr>
        <w:ind w:left="420"/>
      </w:pPr>
      <w:r>
        <w:t xml:space="preserve">7. Übernehmen von komplexen Aufgaben in den betrieblichen Kernprozessen Produktmanagement, Kundenmanagement sowie Schaden- und Leistungsmanagement sowie</w:t>
      </w:r>
    </w:p>
    <w:p>
      <w:pPr>
        <w:ind w:left="420"/>
      </w:pPr>
      <w:r>
        <w:t xml:space="preserve">8. Ermitteln von Kundenbedarfen und Entwickeln von kundenzentrierten Lösungen in einem Kundenbedarfsfeld.</w:t>
      </w:r>
    </w:p>
    <w:p>
      <w:r>
        <w:t xml:space="preserve">(4) Für den Erwerb der in Absatz 3 bezeichneten Fertigkeiten, Kenntnisse und Fähigkeiten bedarf es in der Regel eines Lernumfangs von insgesamt mindestens 1 200 Stunden. Der Lerninhalt bestimmt sich nach den Anforderungen der in § 3 in Verbindung mit den in den §§ 6 bis 9 genannten Prüfungsbereichen.</w:t>
      </w:r>
    </w:p>
    <w:p>
      <w:r>
        <w:t xml:space="preserve">(5) Die erfolgreich abgelegte Prüfung führt zum anerkannten Fortbildungsabschluss mit der Bezeichnung „Bachelor Professional in Versicherungen und Finanzanlagen“.</w:t>
      </w:r>
    </w:p>
    <w:p>
      <w:r>
        <w:rPr>
          <w:color w:val="555555"/>
          <w:sz w:val="17"/>
        </w:rPr>
        <w:t xml:space="preserve">Zitiervorschlag: § 1 BAProVFFPrV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https://recht.nulegal.eu/gesetze/BAProVFFPrV/1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