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BAProNotFPrV — Zeugnisse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Wer die Prüfung nach § 13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in Worten anzugeben.</w:t>
      </w:r>
    </w:p>
    <w:p>
      <w:r>
        <w:t xml:space="preserve">(3) Jede Befreiung nach § 56 Absatz 2 des Berufsbildungsgesetzes ist mit Ort, Datum und der Bezeichnung des Prüfungsgremiums der nach § 56 Absatz 2 Nummer 1 des Berufsbildungsgesetzes vergleichbaren Prüfung anzugeben.</w:t>
      </w:r>
    </w:p>
    <w:p>
      <w:r>
        <w:t xml:space="preserve">(4)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15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