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BAProNotFPrV — Ziel der Prüfung und Bezeichnung des Fortbildungsabschlusses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Mit der erfolgreich abgelegten Prüfung nach dieser Verordnung wird die auf einen beruflichen Aufstieg abzielende Erweiterung der beruflichen Handlungsfähigkeit auf der zweiten beruflichen Fortbildungsstufe der höherqualifizierenden Berufsbildung nachgewiesen.</w:t>
      </w:r>
    </w:p>
    <w:p>
      <w:r>
        <w:t xml:space="preserve">(2) Die Prüfung wird von der nach dem Berufsbildungsgesetz zuständigen Stelle durchgeführt.</w:t>
      </w:r>
    </w:p>
    <w:p>
      <w:r>
        <w:t xml:space="preserve">(3) Durch die Prüfung ist festzustellen, ob die zu prüfende Person in der Lage ist, nach § 53c Absatz 2 Satz 1 des Berufsbildungsgesetzes Fach- und Führungsfunktionen zu übernehmen, in denen zu verantwortende Leitungsprozesse von Organisationen eigenständig gesteuert und eigenständig ausgeführt und Mitarbeitende geführt werden. Im Einzelnen umfasst dies insbesondere folgende Tätigkeiten:</w:t>
      </w:r>
    </w:p>
    <w:p>
      <w:pPr>
        <w:ind w:left="420"/>
      </w:pPr>
      <w:r>
        <w:t xml:space="preserve">1. Betreuen von Rechtsuchenden und Durchführen von Vorbesprechungen,</w:t>
      </w:r>
    </w:p>
    <w:p>
      <w:pPr>
        <w:ind w:left="420"/>
      </w:pPr>
      <w:r>
        <w:t xml:space="preserve">2. Erstellen von Entwürfen für Urkunden sowie Aufnehmen von Rückmeldungen der Rechtsuchenden,</w:t>
      </w:r>
    </w:p>
    <w:p>
      <w:pPr>
        <w:ind w:left="420"/>
      </w:pPr>
      <w:r>
        <w:t xml:space="preserve">3. Erkennen und Beurteilen von Sachverhalten mit Auslandsbezug und Berücksichtigung sich daraus ergebender Anforderungen,</w:t>
      </w:r>
    </w:p>
    <w:p>
      <w:pPr>
        <w:ind w:left="420"/>
      </w:pPr>
      <w:r>
        <w:t xml:space="preserve">4. Umsetzen berufsrechtlicher und beurkundungsrechtlicher Vorgaben,</w:t>
      </w:r>
    </w:p>
    <w:p>
      <w:pPr>
        <w:ind w:left="420"/>
      </w:pPr>
      <w:r>
        <w:t xml:space="preserve">5. Vollziehen von komplexen Urkunden,</w:t>
      </w:r>
    </w:p>
    <w:p>
      <w:pPr>
        <w:ind w:left="420"/>
      </w:pPr>
      <w:r>
        <w:t xml:space="preserve">6. Erstellen von Kostenberechnungen bei komplexen Sachverhalten,</w:t>
      </w:r>
    </w:p>
    <w:p>
      <w:pPr>
        <w:ind w:left="420"/>
      </w:pPr>
      <w:r>
        <w:t xml:space="preserve">7. Organisieren und Optimieren von Büroabläufen, auch unter Nutzung digitaler Prozesse, sowie</w:t>
      </w:r>
    </w:p>
    <w:p>
      <w:pPr>
        <w:ind w:left="420"/>
      </w:pPr>
      <w:r>
        <w:t xml:space="preserve">8. Steuern der Zusammenarbeit von und Führen von Mitarbeitenden.</w:t>
      </w:r>
    </w:p>
    <w:p>
      <w:r>
        <w:t xml:space="preserve">(4) Für den Erwerb der in Absatz 3 bezeichneten Fertigkeiten, Kenntnisse und Fähigkeiten bedarf es in der Regel eines Lernumfangs von insgesamt mindestens 1 200 Stunden. Der Lerninhalt bestimmt sich nach den Qualifikationsinhalten der in den §§ 4 bis 8 genannten Prüfungsbereiche.</w:t>
      </w:r>
    </w:p>
    <w:p>
      <w:r>
        <w:t xml:space="preserve">(5) Die erfolgreich abgelegte Prüfung führt zum anerkannten Fortbildungsabschluss mit der Bezeichnung „Bachelor Professional im Notariat“.</w:t>
      </w:r>
    </w:p>
    <w:p>
      <w:r>
        <w:rPr>
          <w:color w:val="555555"/>
          <w:sz w:val="17"/>
        </w:rPr>
        <w:t xml:space="preserve">Zitiervorschlag: § 1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