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BAProITFPrV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53 Absatz 1 in Verbindung mit Absatz 2 und mit § 53a Absatz 1 Nummer 2 und mit § 53c des Berufsbildungsgesetzes, von denen § 53 Absatz 1 durch Artikel 1 Nummer 33 Buchstabe a des Gesetzes vom 19. Juli 2024 (BGBl. 2024 I Nr. 246) und § 53c durch Artikel 1 Nummer 35 des Gesetzes vom 19. Juli 2024 (BGBl. 2024 I Nr. 246) geändert worden ist, im Einvernehmen mit dem Bundesministerium für Wirtschaft und Klimaschutz sowie</w:t>
      </w:r>
    </w:p>
    <w:p>
      <w:pPr>
        <w:ind w:left="420"/>
      </w:pPr>
      <w:r>
        <w:t xml:space="preserve">– des § 30 Absatz 5 des Berufsbildungsgesetzes in der Fassung der Bekanntmachung vom 4. Mai 2020 (BGBl. I S. 920)</w:t>
      </w:r>
    </w:p>
    <w:p>
      <w:r>
        <w:t xml:space="preserve">verordnet das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