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BAProITFPrV — Zeugnisse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Wer die Prüfung nach § 29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sowie die Gesamtnote als Dezimalzahl mit einer Nachkommastelle und in Worten anzugeben. Jede Befreiung nach § 30 ist mit Ort, Datum und der Bezeichnung des Prüfungsgremiums der vergleichbaren Prüfung anzugeben. Der Nachweis über den Erwerb der berufs- und arbeitspädagogischen Kenntnisse nach § 33 ist im Zeugnis einzutragen.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31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