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BAProITFPrV — Zulassungsvoraussetzungen</w:t>
      </w:r>
    </w:p>
    <w:p>
      <w:r>
        <w:rPr>
          <w:color w:val="555555"/>
          <w:sz w:val="18"/>
        </w:rPr>
        <w:t xml:space="preserve">Bachelor-Professional-IT-Fortbildungsprüfungsverordnung</w:t>
      </w:r>
    </w:p>
    <w:p>
      <w:r>
        <w:rPr>
          <w:color w:val="555555"/>
          <w:sz w:val="18"/>
        </w:rPr>
        <w:t xml:space="preserve">Stand: 01.11.2024 (konsolidierte Textfassung, kein amtliches Inkrafttretensdatum)</w:t>
      </w:r>
    </w:p>
    <w:p>
      <w:r>
        <w:t xml:space="preserve">(1) Zur Prüfung ist zuzulassen, wer die Anforderungen des § 53c des Berufsbildungsgesetzes erfüllt und Folgendes nachweist:</w:t>
      </w:r>
    </w:p>
    <w:p>
      <w:pPr>
        <w:ind w:left="420"/>
      </w:pPr>
      <w:r>
        <w:t xml:space="preserve">1. eine erfolgreich abgelegte Abschluss- oder Gesellenprüfung in einem anerkannten Ausbildungsberuf im Bereich der Informations- und Kommunikationstechnologie,</w:t>
      </w:r>
    </w:p>
    <w:p>
      <w:pPr>
        <w:ind w:left="420"/>
      </w:pPr>
      <w:r>
        <w:t xml:space="preserve">2. eine erfolgreich abgelegte Prüfung zum Geprüften Berufsspezialisten oder zur Geprüften Berufsspezialistin im Bereich der Informations- und Kommunikationstechnologie,</w:t>
      </w:r>
    </w:p>
    <w:p>
      <w:pPr>
        <w:ind w:left="420"/>
      </w:pPr>
      <w:r>
        <w:t xml:space="preserve">3. eine erfolgreich abgelegte Abschluss- oder Gesellenprüfung in einem anderen anerkannten Ausbildungsberuf und eine auf die Berufsausbildung folgende, mindestens einjährige Berufspraxis,</w:t>
      </w:r>
    </w:p>
    <w:p>
      <w:pPr>
        <w:ind w:left="420"/>
      </w:pPr>
      <w:r>
        <w:t xml:space="preserve">4. den Erwerb von mindestens 90 Leistungspunkten nach dem Europäischen System zur Übertragung und Akkumulierung von Studienleistungen in einem fachverwandten Studium und eine mindestens zweijährige Berufspraxis oder</w:t>
      </w:r>
    </w:p>
    <w:p>
      <w:pPr>
        <w:ind w:left="420"/>
      </w:pPr>
      <w:r>
        <w:t xml:space="preserve">5. eine mindestens fünfjährige Berufspraxis.</w:t>
      </w:r>
    </w:p>
    <w:p>
      <w:r>
        <w:t xml:space="preserve">(2) Die Berufspraxis nach Absatz 1 Nummer 3 bis 5 muss wesentliche inhaltliche Bezüge zu den in § 1 Absatz 3 genannten Tätigkeiten aufweisen. Die Dauer und der Inhalt der Berufspraxis sind in geeigneter Weise nachzuweisen.</w:t>
      </w:r>
    </w:p>
    <w:p>
      <w:r>
        <w:t xml:space="preserve">(3) Abweichend von Absatz 1 ist zur Prüfung auch zuzulassen, wer durch Vorlage von Zeugnissen oder auf andere Weise glaubhaft macht, eine berufliche Handlungsfähigkeit erworben zu haben, die mit den Zulassungsvoraussetzungen nach Absatz 1 vergleichbar ist.</w:t>
      </w:r>
    </w:p>
    <w:p>
      <w:r>
        <w:rPr>
          <w:color w:val="555555"/>
          <w:sz w:val="17"/>
        </w:rPr>
        <w:t xml:space="preserve">Zitiervorschlag: § 2 BAProITFPrV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https://recht.nulegal.eu/gesetze/BAProITFPrV/2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