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BAPostSa — Vertretung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wird nach Maßgabe der weiteren Satzungsbestimmungen gerichtlich und außergerichtlich durch ihre Organe vertreten.</w:t>
      </w:r>
    </w:p>
    <w:p>
      <w:r>
        <w:t xml:space="preserve">(2) Erklärungen sind für die Anstalt verbindlich, wenn sie von zwei Mitgliedern des zuständigen Organs gemeinschaftlich oder von einem Organmitglied gemeinschaftlich mit einem durch das zuständige Organ bevollmächtigten Vertreter abgegeben werden.</w:t>
      </w:r>
    </w:p>
    <w:p>
      <w:r>
        <w:t xml:space="preserve">(3) Ist eine Erklärung einem Organ der Anstalt gegenüber abzugeben, so genügt die Abgabe gegenüber einem Mitglied dieses Organs.</w:t>
      </w:r>
    </w:p>
    <w:p>
      <w:r>
        <w:rPr>
          <w:color w:val="555555"/>
          <w:sz w:val="17"/>
        </w:rPr>
        <w:t xml:space="preserve">Zitiervorschlag: § 6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