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BAPostSa — Soziale Aufgaben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Die Anstalt führt die in § 26 des Bundesanstalt Post-Gesetzes aufgeführten betrieblichen Sozialeinrichtungen für die Anstalt, die Aktiengesellschaften, die Unfallkasse und die Museumsstiftung weiter.</w:t>
      </w:r>
    </w:p>
    <w:p>
      <w:r>
        <w:t xml:space="preserve">(2) Die Anstalt ist verpflichtet, die Wirtschaftlichkeit der betrieblichen Sozialeinrichtungen zu kontrollieren.</w:t>
      </w:r>
    </w:p>
    <w:p>
      <w:r>
        <w:t xml:space="preserve">(3) Die Anstalt legt die Grundsätze der Wohnungsfürsorge für die Aktiengesellschaften fest.</w:t>
      </w:r>
    </w:p>
    <w:p>
      <w:r>
        <w:t xml:space="preserve">(4) Innerhalb der Anstalt werden die sozialen Aufgaben von einer Stelle wahrgenommen.</w:t>
      </w:r>
    </w:p>
    <w:p>
      <w:r>
        <w:rPr>
          <w:color w:val="555555"/>
          <w:sz w:val="17"/>
        </w:rPr>
        <w:t xml:space="preserve">Zitiervorschlag: § 40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