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BAPostSa — Manteltarifverträge</w:t>
      </w:r>
    </w:p>
    <w:p>
      <w:r>
        <w:rPr>
          <w:color w:val="555555"/>
          <w:sz w:val="18"/>
        </w:rPr>
        <w:t xml:space="preserve">Satzung der Bundesanstalt für Post und Telekommunikation Deutsche Bundespost (Anlage des Gesetzes über die Errichtung einer Bundesanstalt für Post und Telekommunikation Deutsche Bundespost)</w:t>
      </w:r>
    </w:p>
    <w:p>
      <w:r>
        <w:rPr>
          <w:color w:val="555555"/>
          <w:sz w:val="18"/>
        </w:rPr>
        <w:t xml:space="preserve">Historische Fassung: Stand 10.06.2019 bis 08.04.2021. Dies ist nicht die aktuelle Fassung.</w:t>
      </w:r>
    </w:p>
    <w:p>
      <w:r>
        <w:t xml:space="preserve">(1) Die Anstalt schließt für die Aktiengesellschaften Manteltarifverträge ab. Die Manteltarifverträge, die im Einvernehmen mit den Aktiengesellschaften geschlossen werden, regeln allein die allgemeinen, in der Anlage zu § 14 Abs. 1 des Bundesanstalt Post-Gesetzes aufgeführten Bestimmungen im Rahmen von Arbeitsverhältnissen in den Aktiengesellschaften. Arbeitgeber im Sinne der Arbeitsgesetze und des Tarifrechts sind die Aktiengesellschaften.</w:t>
      </w:r>
    </w:p>
    <w:p>
      <w:r>
        <w:t xml:space="preserve">(2) Die Vergütungen, Löhne und Arbeitsbedingungen der Angestellten, Arbeiter und Auszubildenden bei den Aktiengesellschaften regeln die Aktiengesellschaften selbständig und eigenverantwortlich durch Tarifverträge.</w:t>
      </w:r>
    </w:p>
    <w:p>
      <w:r>
        <w:rPr>
          <w:color w:val="555555"/>
          <w:sz w:val="17"/>
        </w:rPr>
        <w:t xml:space="preserve">Zitiervorschlag: § 39 BAPostSa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https://recht.nulegal.eu/gesetze/BAPostSa/39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