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BAPostSa — Verlustausgleich</w:t>
      </w:r>
    </w:p>
    <w:p>
      <w:r>
        <w:rPr>
          <w:color w:val="555555"/>
          <w:sz w:val="18"/>
        </w:rPr>
        <w:t xml:space="preserve">Satzung der Bundesanstalt für Post und Telekommunikation Deutsche Bundespost (Anlage des Gesetzes über die Errichtung einer Bundesanstalt für Post und Telekommunikation Deutsche Bundespost)</w:t>
      </w:r>
    </w:p>
    <w:p>
      <w:r>
        <w:rPr>
          <w:color w:val="555555"/>
          <w:sz w:val="18"/>
        </w:rPr>
        <w:t xml:space="preserve">Historische Fassung: Stand 10.06.2019 bis 08.04.2021. Dies ist nicht die aktuelle Fassung.</w:t>
      </w:r>
    </w:p>
    <w:p>
      <w:r>
        <w:t xml:space="preserve">(1) Die Anstalt kann zugunsten der Aktiengesellschaften einen Verlustausgleich aus Dividenden herbeiführen, soweit ein unter marktwirtschaftlichen Bedingungen handelnder Kapitalgeber einen solchen Ausgleich vornehmen würde.</w:t>
      </w:r>
    </w:p>
    <w:p>
      <w:r>
        <w:t xml:space="preserve">(2) Daneben darf ein Ausgleich aus Dividenden nur vorgenommen werden für Verluste als Folge von Verpflichtungen infolge der früheren Rechtsform der Aktiengesellschaften als Bundesverwaltung, sofern kein anderer Ausgleich zu erlangen ist.</w:t>
      </w:r>
    </w:p>
    <w:p>
      <w:r>
        <w:t xml:space="preserve">(3) Außerdem dürfen übrige Beihilfen gezahlt werden.</w:t>
      </w:r>
    </w:p>
    <w:p>
      <w:r>
        <w:t xml:space="preserve">(4) Die Entscheidung über einen Verlustausgleich bedarf der Genehmigung der Aufsichtsbehörde.</w:t>
      </w:r>
    </w:p>
    <w:p>
      <w:r>
        <w:rPr>
          <w:color w:val="555555"/>
          <w:sz w:val="17"/>
        </w:rPr>
        <w:t xml:space="preserve">Zitiervorschlag: § 34 BAPostSa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https://recht.nulegal.eu/gesetze/BAPostSa/34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