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BAPostSa — Einführung am Kapitalmarkt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veräußert in enger Abstimmung mit den Aktiengesellschaften die Aktien des Bundes am nationalen und internationalen Kapitalmarkt.</w:t>
      </w:r>
    </w:p>
    <w:p>
      <w:r>
        <w:t xml:space="preserve">(2) Die Anstalt zieht zur Beratung, Vorbereitung und Durchführung der Aktienplazierung erfahrene Emissionshäuser hinzu.</w:t>
      </w:r>
    </w:p>
    <w:p>
      <w:r>
        <w:t xml:space="preserve">(3) Vor Vertragsabschluß mit den Emissionshäusern ist die Zustimmung der Aufsichtsbehörde einzuholen.</w:t>
      </w:r>
    </w:p>
    <w:p>
      <w:r>
        <w:rPr>
          <w:color w:val="555555"/>
          <w:sz w:val="17"/>
        </w:rPr>
        <w:t xml:space="preserve">Zitiervorschlag: § 33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