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BAPostSa — Ausübung von Mitgliedschaftsrechten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nimmt als Inhaberin der Aktien des Bundes die dem Bund nach dem Aktiengesetz zustehenden Mitgliedschaftsrechte wahr.</w:t>
      </w:r>
    </w:p>
    <w:p>
      <w:r>
        <w:t xml:space="preserve">(2) Sie übt das ihr im Rahmen der Hauptversammlung der Aktiengesellschaften zustehende Auskunftsrecht und die Entscheidungsbefugnis über</w:t>
      </w:r>
    </w:p>
    <w:p>
      <w:pPr>
        <w:ind w:left="420"/>
      </w:pPr>
      <w:r>
        <w:t xml:space="preserve">- die Bestellung der Aktionärsvertreter im Aufsichtsrat,</w:t>
      </w:r>
    </w:p>
    <w:p>
      <w:pPr>
        <w:ind w:left="420"/>
      </w:pPr>
      <w:r>
        <w:t xml:space="preserve">- die Verwendung des Bilanzgewinns,</w:t>
      </w:r>
    </w:p>
    <w:p>
      <w:pPr>
        <w:ind w:left="420"/>
      </w:pPr>
      <w:r>
        <w:t xml:space="preserve">- die Entlastung der Mitglieder des Vorstands und des Aufsichtsrats,</w:t>
      </w:r>
    </w:p>
    <w:p>
      <w:pPr>
        <w:ind w:left="420"/>
      </w:pPr>
      <w:r>
        <w:t xml:space="preserve">- die Bestellung der Abschlußprüfer,</w:t>
      </w:r>
    </w:p>
    <w:p>
      <w:pPr>
        <w:ind w:left="420"/>
      </w:pPr>
      <w:r>
        <w:t xml:space="preserve">- die Änderung der Satzung,</w:t>
      </w:r>
    </w:p>
    <w:p>
      <w:pPr>
        <w:ind w:left="420"/>
      </w:pPr>
      <w:r>
        <w:t xml:space="preserve">- die Maßnahmen der Kapitalbeschaffung und Kapitalherabsetzung,</w:t>
      </w:r>
    </w:p>
    <w:p>
      <w:pPr>
        <w:ind w:left="420"/>
      </w:pPr>
      <w:r>
        <w:t xml:space="preserve">- die Bestellung von Prüfern zur Kontrolle von Vorgängen bei der Gründung oder der Geschäftsführung,</w:t>
      </w:r>
    </w:p>
    <w:p>
      <w:pPr>
        <w:ind w:left="420"/>
      </w:pPr>
      <w:r>
        <w:t xml:space="preserve">- die Verschmelzung, Vermögensübertragung, Umwandlung und Eingliederung,</w:t>
      </w:r>
    </w:p>
    <w:p>
      <w:pPr>
        <w:ind w:left="420"/>
      </w:pPr>
      <w:r>
        <w:t xml:space="preserve">- die Zustimmung zu Unternehmensverträgen sowie</w:t>
      </w:r>
    </w:p>
    <w:p>
      <w:pPr>
        <w:ind w:left="420"/>
      </w:pPr>
      <w:r>
        <w:t xml:space="preserve">- andere in der Satzung der Aktiengesellschaft vorgesehene Aufgaben</w:t>
      </w:r>
    </w:p>
    <w:p>
      <w:r>
        <w:t xml:space="preserve">nach Maßgabe der Interessen der Bundesrepublik Deutschland aus. Dies gilt auch für die Geltendmachung von Nichtigkeits- oder Anfechtungsgründen.</w:t>
      </w:r>
    </w:p>
    <w:p>
      <w:r>
        <w:t xml:space="preserve">(3) Die Anstalt gilt durch § 3 Abs. 1 Nr. 1 des Bundesanstalt Post-Gesetzes als zur Stimmrechtsausübung bevollmächtigt im Sinne des § 134 Abs. 3 des Aktiengesetzes.</w:t>
      </w:r>
    </w:p>
    <w:p>
      <w:r>
        <w:rPr>
          <w:color w:val="555555"/>
          <w:sz w:val="17"/>
        </w:rPr>
        <w:t xml:space="preserve">Zitiervorschlag: § 32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