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BAPostSa — Erwerb von Aktien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Die Anstalt erwirbt Aktien für den Bund insbesondere zu folgenden Zwecken:</w:t>
      </w:r>
    </w:p>
    <w:p>
      <w:pPr>
        <w:ind w:left="420"/>
      </w:pPr>
      <w:r>
        <w:t xml:space="preserve">1. zur Teilnahme an einer Kapitalerhöhung der Aktiengesellschaften;</w:t>
      </w:r>
    </w:p>
    <w:p>
      <w:pPr>
        <w:ind w:left="420"/>
      </w:pPr>
      <w:r>
        <w:t xml:space="preserve">2. zur Aufrechterhaltung der vorgeschriebenen oder gebotenen Mehrheitsverhältnisse des Bundes;</w:t>
      </w:r>
    </w:p>
    <w:p>
      <w:pPr>
        <w:ind w:left="420"/>
      </w:pPr>
      <w:r>
        <w:t xml:space="preserve">3. zur Kurspflege.</w:t>
      </w:r>
    </w:p>
    <w:p>
      <w:r>
        <w:rPr>
          <w:color w:val="555555"/>
          <w:sz w:val="17"/>
        </w:rPr>
        <w:t xml:space="preserve">Zitiervorschlag: § 30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