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BAPostSa — Jahresabschluß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Der Vorstand stellt für jedes Geschäftsjahr einen Jahresabschluß und einen Lagebericht nach handelsrechtlichen Grundsätzen auf.</w:t>
      </w:r>
    </w:p>
    <w:p>
      <w:r>
        <w:t xml:space="preserve">(2) Der Jahresabschluß besteht aus</w:t>
      </w:r>
    </w:p>
    <w:p>
      <w:pPr>
        <w:ind w:left="420"/>
      </w:pPr>
      <w:r>
        <w:t xml:space="preserve">- der Bilanz</w:t>
      </w:r>
    </w:p>
    <w:p>
      <w:pPr>
        <w:ind w:left="420"/>
      </w:pPr>
      <w:r>
        <w:t xml:space="preserve">- der Gewinn- und Verlustrechnung und</w:t>
      </w:r>
    </w:p>
    <w:p>
      <w:pPr>
        <w:ind w:left="420"/>
      </w:pPr>
      <w:r>
        <w:t xml:space="preserve">- dem Anhang.</w:t>
      </w:r>
    </w:p>
    <w:p>
      <w:r>
        <w:t xml:space="preserve">(3) Jahresabschluß und Lagebericht sind in den ersten drei Monaten eines jeden Geschäftsjahres aufzustellen und den Abschlußprüfern vorzulegen.</w:t>
      </w:r>
    </w:p>
    <w:p>
      <w:r>
        <w:t xml:space="preserve">(4) Die Abschlußprüfer werden von der Aufsichtsbehörde bestimmt.</w:t>
      </w:r>
    </w:p>
    <w:p>
      <w:r>
        <w:t xml:space="preserve">(5) Nach Eingang des Prüfberichts legt der Vorstand diesen sofort mit dem Jahresabschluß und dem Lagebericht dem Verwaltungsrat zur Feststellung vor.</w:t>
      </w:r>
    </w:p>
    <w:p>
      <w:r>
        <w:t xml:space="preserve">(6) Der Jahresabschluß ist vom Verwaltungsrat festzustellen und der Aufsichtsbehörde zur Genehmigung vorzulegen.</w:t>
      </w:r>
    </w:p>
    <w:p>
      <w:r>
        <w:t xml:space="preserve">(7) Der jährliche Geschäftsbericht, der den Jahresabschluß und den Lagebericht enthält, ist dem Verwaltungsrat und der Aufsichtsbehörde vorzulegen.</w:t>
      </w:r>
    </w:p>
    <w:p>
      <w:r>
        <w:rPr>
          <w:color w:val="555555"/>
          <w:sz w:val="17"/>
        </w:rPr>
        <w:t xml:space="preserve">Zitiervorschlag: § 26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