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BAPostSa — Finanzierung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Die Anstalt finanziert die Aufgabenwahrnehmung nach Abschnitt VI aus Dividenden oder aus sonstigen Mitteln des Bundes.</w:t>
      </w:r>
    </w:p>
    <w:p>
      <w:r>
        <w:t xml:space="preserve">(2) Die Einnahmen des Bundes aus Dividenden und Aktienverkäufen, die der Anstalt zufließen, kann sie im Rahmen ihres Wirtschaftsplans außer zur Finanzierung ihrer Aufgaben nach Absatz 1 insbesondere und vorrangig zur Finanzierung der Unterstützungskassen, zum Verlustausgleich gemäß § 10 des Bundesanstalt Post-Gesetzes zwischen den Aktiengesellschaften, zur Bildung von Rücklagen, zur Ausübung von Bezugsrechten des Bundes bei Kapitalerhöhungen der Aktiengesellschaften oder zur Abführung an den Bund verwenden.</w:t>
      </w:r>
    </w:p>
    <w:p>
      <w:r>
        <w:t xml:space="preserve">(3) Die mit der Aufgabenwahrnehmung nach Abschnitt VII der Satzung verbundenen Ausgaben werden aus den mit den Unternehmen vertraglich vereinbarten Entgelten finanziert.</w:t>
      </w:r>
    </w:p>
    <w:p>
      <w:r>
        <w:rPr>
          <w:color w:val="555555"/>
          <w:sz w:val="17"/>
        </w:rPr>
        <w:t xml:space="preserve">Zitiervorschlag: § 24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