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BAPostSa — Rechte und Pflichten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Der Verwaltungsrat ist vor der Bestellung und Abberufung von Mitgliedern des Vorstands zur Stellungnahme gegenüber der Aufsichtsbehörde berechtigt.</w:t>
      </w:r>
    </w:p>
    <w:p>
      <w:r>
        <w:t xml:space="preserve">(2) Der Verwaltungsrat ist berechtigt, vom Vorstand Auskünfte zu verlangen. Auch ein einzelnes Mitglied kann Auskünfte, jedoch nur an den Verwaltungsrat, verlangen; lehnt der Vorstand die Auskunftserteilung ab, kann die Auskunft nur verlangt werden, wenn ein anderes Verwaltungsratsmitglied das Verlangen unterstützt.</w:t>
      </w:r>
    </w:p>
    <w:p>
      <w:r>
        <w:t xml:space="preserve">(3) Der Verwaltungsrat beschließt nach Vorlage durch den Vorstand über:</w:t>
      </w:r>
    </w:p>
    <w:p>
      <w:pPr>
        <w:ind w:left="420"/>
      </w:pPr>
      <w:r>
        <w:t xml:space="preserve">1. die Feststellung des Wirtschaftsplans der Anstalt und wesentlicher Änderungen;</w:t>
      </w:r>
    </w:p>
    <w:p>
      <w:pPr>
        <w:ind w:left="420"/>
      </w:pPr>
      <w:r>
        <w:t xml:space="preserve">2. die Feststellung des Jahresabschlusses;</w:t>
      </w:r>
    </w:p>
    <w:p>
      <w:pPr>
        <w:ind w:left="420"/>
      </w:pPr>
      <w:r>
        <w:t xml:space="preserve">3. die Entlastung des Vorstands;</w:t>
      </w:r>
    </w:p>
    <w:p>
      <w:pPr>
        <w:ind w:left="420"/>
      </w:pPr>
      <w:r>
        <w:t xml:space="preserve">4. den Ausgleich für Verluste der Aktiengesellschaften;</w:t>
      </w:r>
    </w:p>
    <w:p>
      <w:pPr>
        <w:ind w:left="420"/>
      </w:pPr>
      <w:r>
        <w:t xml:space="preserve">5. Änderungen der Satzung;</w:t>
      </w:r>
    </w:p>
    <w:p>
      <w:pPr>
        <w:ind w:left="420"/>
      </w:pPr>
      <w:r>
        <w:t xml:space="preserve">6. die Gewährung eines Nachlasses auf Aktienkäufe durch die Belegschaft der Aktiengesellschaften;</w:t>
      </w:r>
    </w:p>
    <w:p>
      <w:pPr>
        <w:ind w:left="420"/>
      </w:pPr>
      <w:r>
        <w:t xml:space="preserve">7. die Allgemeine Geschäftsordnung der Anstalt.</w:t>
      </w:r>
    </w:p>
    <w:p>
      <w:r>
        <w:t xml:space="preserve">(4) Die Beschlüsse nach Absatz 3 Nr. 1 bis 6 bedürfen der Genehmigung der Aufsichtsbehörde; § 7 Abs. 1 Satz 2 des Bundesanstalt Post-Gesetzes ist zu beachten.</w:t>
      </w:r>
    </w:p>
    <w:p>
      <w:r>
        <w:t xml:space="preserve">(5) Über eine Vorlage des Vorstands nach Absatz 3 hat der Verwaltungsrat binnen zwei Monaten zu beschließen. Ergeht innerhalb dieser Frist kein Beschluß, gilt die Vorlage als genehmigt.</w:t>
      </w:r>
    </w:p>
    <w:p>
      <w:r>
        <w:t xml:space="preserve">(6) Die Mitglieder des Verwaltungsrats sind entsprechend den Vorschriften des Aktiengesetzes zur Verschwiegenheit verpflichtet.</w:t>
      </w:r>
    </w:p>
    <w:p>
      <w:r>
        <w:rPr>
          <w:color w:val="555555"/>
          <w:sz w:val="17"/>
        </w:rPr>
        <w:t xml:space="preserve">Zitiervorschlag: § 22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