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BAPostSa — Geschäftsordnung</w:t>
      </w:r>
    </w:p>
    <w:p>
      <w:r>
        <w:rPr>
          <w:color w:val="555555"/>
          <w:sz w:val="18"/>
        </w:rPr>
        <w:t xml:space="preserve">Satzung der Bundesanstalt für Post und Telekommunikation Deutsche Bundespost (Anlage des Gesetzes über die Errichtung einer Bundesanstalt für Post und Telekommunikation Deutsche Bundespost)</w:t>
      </w:r>
    </w:p>
    <w:p>
      <w:r>
        <w:rPr>
          <w:color w:val="555555"/>
          <w:sz w:val="18"/>
        </w:rPr>
        <w:t xml:space="preserve">Historische Fassung: Stand 10.06.2019 bis 08.04.2021. Dies ist nicht die aktuelle Fassung.</w:t>
      </w:r>
    </w:p>
    <w:p>
      <w:r>
        <w:t xml:space="preserve">Zur Regelung seiner inneren Ordnung gibt sich der Verwaltungsrat eine Geschäftsordnung, die der Genehmigung der Aufsichtsbehörde bedarf. Nach Maßgabe der Geschäftsordnung können Ausschüsse gebildet werden.</w:t>
      </w:r>
    </w:p>
    <w:p>
      <w:r>
        <w:rPr>
          <w:color w:val="555555"/>
          <w:sz w:val="17"/>
        </w:rPr>
        <w:t xml:space="preserve">Zitiervorschlag: § 20 BAPostSa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https://recht.nulegal.eu/gesetze/BAPostSa/20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