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BAPostSa — Geschäftsbesorgung durch Dritte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(1) Der Vorstand nimmt seine Geschäfte grundsätzlich selbst wahr.</w:t>
      </w:r>
    </w:p>
    <w:p>
      <w:r>
        <w:t xml:space="preserve">(2) In Abweichung von Absatz 1 darf die mit der Einführung der Aktiengesellschaften am Kapitalmarkt erforderliche Geschäftsbesorgung vertraglich auf Dritte übertragen werden. Der Vorstand hat hierzu zuvor die Zustimmung der Aufsichtsbehörde einzuholen.</w:t>
      </w:r>
    </w:p>
    <w:p>
      <w:r>
        <w:rPr>
          <w:color w:val="555555"/>
          <w:sz w:val="17"/>
        </w:rPr>
        <w:t xml:space="preserve">Zitiervorschlag: § 14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