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BAPostG — Genehmigungen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Präsidentin oder der Präsident legt die Beschlüsse des Verwaltungsrats gemäß § 5 Abs. 4 dem Bundesministerium der Finanzen zur Genehmigung vor.</w:t>
      </w:r>
    </w:p>
    <w:p>
      <w:r>
        <w:t xml:space="preserve">(2) Die Präsidentin oder der Präsident berichtet dem Bundesministerium der Finanzen und dem Verwaltungsrat regelmäßig über die Geschäftsführung der Bundesanstalt.</w:t>
      </w:r>
    </w:p>
    <w:p>
      <w:r>
        <w:rPr>
          <w:color w:val="555555"/>
          <w:sz w:val="17"/>
        </w:rPr>
        <w:t xml:space="preserve">Zitiervorschlag: § 7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