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BAPostG — Verwaltungsrat</w:t>
      </w:r>
    </w:p>
    <w:p>
      <w:r>
        <w:rPr>
          <w:color w:val="555555"/>
          <w:sz w:val="18"/>
        </w:rPr>
        <w:t xml:space="preserve">Bundesanstalt-Post-Gesetz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Bei der Bundesanstalt wird ein Verwaltungsrat gebildet. Er besteht aus einer oder einem Vorsitzenden, die oder der vom Bundesministerium der Finanzen benannt wird, und weiteren Mitgliedern. Dies sind:</w:t>
      </w:r>
    </w:p>
    <w:p>
      <w:pPr>
        <w:ind w:left="420"/>
      </w:pPr>
      <w:r>
        <w:t xml:space="preserve">1. eine Vertreterin oder ein Vertreter jedes Postnachfolgeunternehmens,</w:t>
      </w:r>
    </w:p>
    <w:p>
      <w:pPr>
        <w:ind w:left="420"/>
      </w:pPr>
      <w:r>
        <w:t xml:space="preserve">2. eine Vertreterin oder ein Vertreter des Personals jedes Postnachfolgeunternehmens auf Vorschlag der Arbeitnehmerseite und</w:t>
      </w:r>
    </w:p>
    <w:p>
      <w:pPr>
        <w:ind w:left="420"/>
      </w:pPr>
      <w:r>
        <w:t xml:space="preserve">3. vom Bundesministerium der Finanzen benannte Personen, die zusammen so viele Stimmen haben, wie die Vertreterinnen und Vertreter nach den Nummern 1 und 2 zusammen.</w:t>
      </w:r>
    </w:p>
    <w:p>
      <w:r>
        <w:t xml:space="preserve">Die oder der Vorsitzende und die weiteren Mitglieder des Verwaltungsrats werden durch das Bundesministerium der Finanzen bestellt und abberufen.</w:t>
      </w:r>
    </w:p>
    <w:p>
      <w:r>
        <w:t xml:space="preserve">(2) Die Einzelheiten der Bestellung und Abberufung der Mitglieder des Verwaltungsrats, die Verteilung der Stimmen auf die Mitglieder des Verwaltungsrats sowie die Dauer der Amtszeit werden durch die Satzung geregelt.</w:t>
      </w:r>
    </w:p>
    <w:p>
      <w:r>
        <w:t xml:space="preserve">(3) Der Verwaltungsrat gibt sich eine Geschäftsordnung, die der Genehmigung durch das Bundesministerium der Finanzen bedarf.</w:t>
      </w:r>
    </w:p>
    <w:p>
      <w:r>
        <w:t xml:space="preserve">(4) Der Verwaltungsrat beschließt auf Vorlage der Präsidentin oder des Präsidenten über</w:t>
      </w:r>
    </w:p>
    <w:p>
      <w:pPr>
        <w:ind w:left="420"/>
      </w:pPr>
      <w:r>
        <w:t xml:space="preserve">1. die Feststellung und wesentliche Änderungen des Wirtschaftsplans,</w:t>
      </w:r>
    </w:p>
    <w:p>
      <w:pPr>
        <w:ind w:left="420"/>
      </w:pPr>
      <w:r>
        <w:t xml:space="preserve">2. die Feststellung des Jahresabschlusses,</w:t>
      </w:r>
    </w:p>
    <w:p>
      <w:pPr>
        <w:ind w:left="420"/>
      </w:pPr>
      <w:r>
        <w:t xml:space="preserve">3. die Entlastung der Präsidentin oder des Präsidenten,</w:t>
      </w:r>
    </w:p>
    <w:p>
      <w:pPr>
        <w:ind w:left="420"/>
      </w:pPr>
      <w:r>
        <w:t xml:space="preserve">4. Änderungen der Satzung.</w:t>
      </w:r>
    </w:p>
    <w:p>
      <w:r>
        <w:t xml:space="preserve">Die Entlastung gemäß Satz 1 Nr. 3 befreit nicht von der dienstvertraglichen Haftung.</w:t>
      </w:r>
    </w:p>
    <w:p>
      <w:r>
        <w:t xml:space="preserve">(5) Über eine Vorlage der Präsidentin oder des Präsidenten nach Absatz 4 hat der Verwaltungsrat binnen zwei Monaten zu beschließen. Ergeht innerhalb dieser Frist kein Beschluß, gilt die Vorlage als genehmigt.</w:t>
      </w:r>
    </w:p>
    <w:p>
      <w:r>
        <w:rPr>
          <w:color w:val="555555"/>
          <w:sz w:val="17"/>
        </w:rPr>
        <w:t xml:space="preserve">Zitiervorschlag: § 5 BAPostG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https://recht.nulegal.eu/gesetze/BAPostG/5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