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BAPostG — Gegenstand</w:t>
      </w:r>
    </w:p>
    <w:p>
      <w:r>
        <w:rPr>
          <w:color w:val="555555"/>
          <w:sz w:val="18"/>
        </w:rPr>
        <w:t xml:space="preserve">Bundesanstalt-Post-Gesetz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hat die Aufgaben nach den Abschnitten 4, 5, 7 und 8.</w:t>
      </w:r>
    </w:p>
    <w:p>
      <w:r>
        <w:t xml:space="preserve">(2) Postnachfolgeunternehmen im Sinne dieses Gesetzes sind die Postnachfolgeunternehmen im Sinne des § 38 Absatz 1 des Postpersonalrechtsgesetzes.</w:t>
      </w:r>
    </w:p>
    <w:p>
      <w:r>
        <w:t xml:space="preserve">(3) Das Bundesministerium der Finanzen kann der Bundesanstalt im Einvernehmen mit den Postnachfolgeunternehmen weitere Folgeaufgaben der Neuordnung des Postwesens in Bezug auf die Beschäftigten des ehemaligen Sondervermögens Deutsche Bundespost übertragen.</w:t>
      </w:r>
    </w:p>
    <w:p>
      <w:r>
        <w:t xml:space="preserve">(4) Über die in diesem Gesetz genannten Aufgaben hinaus darf die Bundesanstalt weder Rechte noch Einfluß in bezug auf die Postnachfolgeunternehmen ausüben.</w:t>
      </w:r>
    </w:p>
    <w:p>
      <w:r>
        <w:rPr>
          <w:color w:val="555555"/>
          <w:sz w:val="17"/>
        </w:rPr>
        <w:t xml:space="preserve">Zitiervorschlag: § 3 BAPostG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