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BAPostG — Übergangsregelung im Sozialwesen</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Für die bis zum Inkrafttreten dieses Gesetzes im Bereich der früheren Deutschen Bundespost beschäftigten Beamtinnen und Beamten, Angestellten, Arbeiterinnen und Arbeiter und Auszubildenden ist der erworbene Besitzstand von den Postnachfolgeunternehmen und der Bundesanstalt nach Maßgabe des Gesetzes zur Reorganisation der Bundesanstalt für Post und Telekommunikation Deutsche Bundespost und zur Änderung anderer Gesetze zu wahren.</w:t>
      </w:r>
    </w:p>
    <w:p>
      <w:r>
        <w:t xml:space="preserve">(2) Für Beschäftigte der Bundesanstalt, des früheren Bundesministeriums für Post und Telekommunikation und seines nachgeordneten Bereichs sowie der früheren Unfallkasse Post und Telekom und der Museumsstiftung gilt der Besitzstand nach Maßgabe des Gesetzes zur Reorganisation der Bundesanstalt für Post und Telekommunikation Deutsche Bundespost und zur Änderung anderer Gesetze weiter. Dies gilt entsprechend auch für die Versorgungs- und Rentenempfänger in den genannten Bereichen.</w:t>
      </w:r>
    </w:p>
    <w:p>
      <w:r>
        <w:t xml:space="preserve">(3) Die betrieblichen Sozialeinrichtungen der früheren Deutschen Bundespost sind bis zur Anpassung der Satzungen an die sich aus dem Gesetz zur Reorganisation der Bundesanstalt für Post und Telekommunikation Deutsche Bundespost und zur Änderung anderer Gesetze ergebenden Rechtsfolgen unter Betreuung des bislang erfaßten Personenkreises nach den bislang geltenden Regelungen weiterzuführen.</w:t>
      </w:r>
    </w:p>
    <w:p>
      <w:r>
        <w:rPr>
          <w:color w:val="555555"/>
          <w:sz w:val="17"/>
        </w:rPr>
        <w:t xml:space="preserve">Zitiervorschlag: § 28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