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26k BAPostG — Verteilung des Verwaltungsaufwands, Verordnungsermächtigung</w:t>
      </w:r>
    </w:p>
    <w:p>
      <w:r>
        <w:rPr>
          <w:color w:val="555555"/>
          <w:sz w:val="18"/>
        </w:rPr>
        <w:t xml:space="preserve">Bundesanstalt-Post-Gesetz</w:t>
      </w:r>
    </w:p>
    <w:p>
      <w:r>
        <w:rPr>
          <w:color w:val="555555"/>
          <w:sz w:val="18"/>
        </w:rPr>
        <w:t xml:space="preserve">Stand: 10.06.2019 (konsolidierte Textfassung, kein amtliches Inkrafttretensdatum)</w:t>
      </w:r>
    </w:p>
    <w:p>
      <w:r>
        <w:t xml:space="preserve">Die der Bundesanstalt aus der Weiterführung der Postbeamtenkrankenkasse entstehenden Kosten, einschließlich der kalkulatorischen Kosten, und der nach Maßgabe des § 19 Absatz 1 anfallende Gewinnzuschlag (Verwaltungsaufwand) werden abgerechnet und von der Postbeamtenkrankenkasse, der Bundesanstalt, den Postnachfolgeunternehmen, dem Bund und anderen Dienstherren sowie den Mitgliedern der Postbeamtenkrankenkasse getragen. Das Bundesministerium der Finanzen regelt durch Rechtsverordnung, die nicht der Zustimmung des Bundesrates bedarf, die Abrechnung des Verwaltungsaufwands und die Verteilung des Verwaltungsaufwands auf die Kostenträger sowie das Nähere zur Kostenerstattung nach § 26d Absatz 3 Satz 1.</w:t>
      </w:r>
    </w:p>
    <w:p>
      <w:r>
        <w:rPr>
          <w:color w:val="555555"/>
          <w:sz w:val="17"/>
        </w:rPr>
        <w:t xml:space="preserve">Zitiervorschlag: § 26k BAPostG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https://recht.nulegal.eu/gesetze/BAPostG/26k</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