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26e BAPostG — Wirtschaftsplan</w:t>
      </w:r>
    </w:p>
    <w:p>
      <w:r>
        <w:rPr>
          <w:color w:val="555555"/>
          <w:sz w:val="18"/>
        </w:rPr>
        <w:t xml:space="preserve">Bundesanstalt-Post-Gesetz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Vorstand der Postbeamtenkrankenkasse stellt für jedes Geschäftsjahr einen Wirtschaftsplan auf, der vom Verwaltungsrat der Postbeamtenkrankenkasse festgestellt wird und der Genehmigung durch die Bundesanstalt bedarf.</w:t>
      </w:r>
    </w:p>
    <w:p>
      <w:r>
        <w:t xml:space="preserve">(2) Der Wirtschaftsplan ist getrennt nach den Versicherungszweigen aufzustellen.</w:t>
      </w:r>
    </w:p>
    <w:p>
      <w:r>
        <w:t xml:space="preserve">(3) Die Postbeamtenkrankenkasse gewährleistet in den jeweiligen Versicherungszweigen einen dauerhaft ausgeglichenen Haushalt. Die erforderlichen Beiträge werden jährlich nach Maßgabe der §§ 26f und 26g durch die Satzung bestimmt.</w:t>
      </w:r>
    </w:p>
    <w:p>
      <w:r>
        <w:rPr>
          <w:color w:val="555555"/>
          <w:sz w:val="17"/>
        </w:rPr>
        <w:t xml:space="preserve">Zitiervorschlag: § 26e BAPostG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https://recht.nulegal.eu/gesetze/BAPostG/26e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