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BAPostG — Beamtinnen und Beamte, Arbeitnehmerinnen und Arbeitnehmer</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Unbeschadet des Rechts, Arbeitnehmerinnen und Arbeitnehmer zu beschäftigen, wird der Bundesanstalt das Recht verliehen, Beamtinnen und Beamte zu haben.</w:t>
      </w:r>
    </w:p>
    <w:p>
      <w:r>
        <w:t xml:space="preserve">(2) Die Beamtinnen und Beamten der Bundesanstalt sind Bundesbeamtinnen und Bundesbeamte. Oberste Dienstbehörde und oberste Dienstvorgesetzte oder oberster Dienstvorgesetzter ist die Präsidentin oder der Präsident; § 2 Abs. 2 des Postsozialversicherungsorganisationsgesetzes bleibt unberührt. Die für die Aufsicht zuständige oberste Bundesbehörde im Sinne des § 144 des Bundesbeamtengesetzes ist das Bundesministerium der Finanzen. Das Bundesministerium der Finanzen bestimmt nach Anhörung oder auf Vorschlag der Präsidentin oder des Präsidenten, welche Stelleninhaberinnen oder Stelleninhaber unterhalb der Präsidentin oder des Präsidenten die Befugnisse einer oder eines Dienstvorgesetzten für die bei den betrieblichen Sozialeinrichtungen beschäftigten Beamtinnen und Beamten wahrnehmen. Die Bestimmung ist im Bundesgesetzblatt zu veröffentlichen.</w:t>
      </w:r>
    </w:p>
    <w:p>
      <w:r>
        <w:t xml:space="preserve">(3) Die Bundespräsidentin oder der Bundespräsident ernennt und entlässt die Beamtinnen und Beamten der Bundesbesoldungsordnung B der Bundesanstalt. Die Präsidentin oder der Präsident ernennt und entlässt die Beamtinnen und Beamten der Bundesbesoldungsordnung A.</w:t>
      </w:r>
    </w:p>
    <w:p>
      <w:r>
        <w:t xml:space="preserve">(4) Bei der Bundesanstalt können die nach § 26 Abs. 1 des Bundesbesoldungsgesetzes zulässigen Obergrenzen für Beförderungsämter überschritten werden, soweit dies wegen der mit den Funktionen verbundenen Anforderungen erforderlich ist.</w:t>
      </w:r>
    </w:p>
    <w:p>
      <w:r>
        <w:t xml:space="preserve">(5) Stand einer Beamtin oder einem Beamten vor einer Verwendung bei der Bundesanstalt eine Stellenzulage entsprechend der Vorbemerkung Nummer 7 zu den Besoldungsordnungen A und B des Bundesbesoldungsgesetzes zu, wird diese für die Dauer dieser Verwendung weitergewährt. Anrechnungsvorschriften finden Anwendung.</w:t>
      </w:r>
    </w:p>
    <w:p>
      <w:r>
        <w:rPr>
          <w:color w:val="555555"/>
          <w:sz w:val="17"/>
        </w:rPr>
        <w:t xml:space="preserve">Zitiervorschlag: § 23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