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BAPostG — Aufsicht</w:t>
      </w:r>
    </w:p>
    <w:p>
      <w:r>
        <w:rPr>
          <w:color w:val="555555"/>
          <w:sz w:val="18"/>
        </w:rPr>
        <w:t xml:space="preserve">Bundesanstalt-Post-Gesetz</w:t>
      </w:r>
    </w:p>
    <w:p>
      <w:r>
        <w:rPr>
          <w:color w:val="555555"/>
          <w:sz w:val="18"/>
        </w:rPr>
        <w:t xml:space="preserve">Stand: 10.06.2019 (konsolidierte Textfassung, kein amtliches Inkrafttretensdatum)</w:t>
      </w:r>
    </w:p>
    <w:p>
      <w:r>
        <w:t xml:space="preserve">Die Bundesanstalt untersteht der Rechts- und Fachaufsicht des Bundesministeriums der Finanzen. Es ist befugt, alle Auskünfte zu verlangen und Anordnungen zu treffen, damit die Bundesanstalt ihre Aufgaben in Einklang mit den Gesetzen, der Satzung, sonstigen Bestimmungen und den Interessen des Bundes wahrnimmt.</w:t>
      </w:r>
    </w:p>
    <w:p>
      <w:r>
        <w:rPr>
          <w:color w:val="555555"/>
          <w:sz w:val="17"/>
        </w:rPr>
        <w:t xml:space="preserve">Zitiervorschlag: § 2 BAPostG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https://recht.nulegal.eu/gesetze/BAPostG/2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