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BAPostG — Finanzierung</w:t>
      </w:r>
    </w:p>
    <w:p>
      <w:r>
        <w:rPr>
          <w:color w:val="555555"/>
          <w:sz w:val="18"/>
        </w:rPr>
        <w:t xml:space="preserve">Bundesanstalt-Post-Gesetz</w:t>
      </w:r>
    </w:p>
    <w:p>
      <w:r>
        <w:rPr>
          <w:color w:val="555555"/>
          <w:sz w:val="18"/>
        </w:rPr>
        <w:t xml:space="preserve">Stand: 10.06.2019 (konsolidierte Textfassung, kein amtliches Inkrafttretensdatum)</w:t>
      </w:r>
    </w:p>
    <w:p>
      <w:r>
        <w:t xml:space="preserve">(1) Die Aufgaben nach § 3 nimmt die Bundesanstalt nach Maßgabe öffentlich-rechtlicher entgeltlicher Geschäftsbesorgungsverträge wahr, die sie mit den Postnachfolgeunternehmen abschließt. Die mit der Aufgabenwahrnehmung verbundenen Kosten einschließlich der kalkulatorischen Kosten werden aus den vertraglich vereinbarten Entgelten einschließlich eines Gewinnzuschlages finanziert. Die Leitsätze für die Preisermittlung auf Grund von Selbstkosten (Anlage zur Verordnung PR Nr. 30/53 vom 21. November 1953, zuletzt geändert durch Artikel 289 der Verordnung vom 25. November 2003, BGBl. I S. 2304), sind zu beachten. Sie können einvernehmlich ganz oder teilweise abbedungen werden. Der Gewinnzuschlag muss einen angemessenen Ausgleich für die verbleibenden Risiken gewährleisten. Anstelle des Gewinnzuschlags kann eine Vollkostentragung vereinbart werden. Für Personalüberhang wird für die Zeit ab dem 1. Dezember 2005 kein Gewinnzuschlag erhoben.</w:t>
      </w:r>
    </w:p>
    <w:p>
      <w:r>
        <w:t xml:space="preserve">(2) § 26 Abs. 4 und § 26k bleiben unberührt.</w:t>
      </w:r>
    </w:p>
    <w:p>
      <w:r>
        <w:rPr>
          <w:color w:val="555555"/>
          <w:sz w:val="17"/>
        </w:rPr>
        <w:t xml:space="preserve">Zitiervorschlag: § 19 BAPostG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