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BAPostG — Rechtsnachfolge des Bundes-Pensions-Service für Post und Telekommunikation e. V.</w:t>
      </w:r>
    </w:p>
    <w:p>
      <w:r>
        <w:rPr>
          <w:color w:val="555555"/>
          <w:sz w:val="18"/>
        </w:rPr>
        <w:t xml:space="preserve">Bundesanstalt-Post-Gesetz</w:t>
      </w:r>
    </w:p>
    <w:p>
      <w:r>
        <w:rPr>
          <w:color w:val="555555"/>
          <w:sz w:val="18"/>
        </w:rPr>
        <w:t xml:space="preserve">Stand: 09.04.2021 (konsolidierte Textfassung, kein amtliches Inkrafttretensdatum)</w:t>
      </w:r>
    </w:p>
    <w:p>
      <w:r>
        <w:t xml:space="preserve">(1) Die Bundesanstalt tritt in die Rechte und Pflichten des Bundes-Pensions-Service für Post und Telekommunikation e. V. als Postbeamtenversorgungskasse ein.</w:t>
      </w:r>
    </w:p>
    <w:p>
      <w:r>
        <w:t xml:space="preserve">(2) Die Bundesanstalt übernimmt ohne Wertausgleich mit Ablauf des 31. Dezember 2012 das vom Bundes-Pensions-Service für Post und Telekommunikation e. V. als Postbeamtenversorgungskasse gehaltene Vermögen (Aktiva und Passiva einschließlich etwaiger beschränkter dinglicher Rechte). Bestellte Pfandrechte und sonstige Sicherungsrechte bleiben bestehen.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11 BAPostG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