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BAPostG — Wirtschaftsführung, Rechnungslegung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14.08.2021 (konsolidierte Textfassung, kein amtliches Inkrafttretensdatum)</w:t>
      </w:r>
    </w:p>
    <w:p>
      <w:r>
        <w:t xml:space="preserve">(1) Die Präsidentin oder der Präsident stellt für jedes Geschäftsjahr einen Wirtschaftsplan für die Postbeamtenversorgungskasse auf. Dieser ist Teil des Wirtschaftsplans der Bundesanstalt (§ 20).</w:t>
      </w:r>
    </w:p>
    <w:p>
      <w:r>
        <w:t xml:space="preserve">(2) Die Bundesanstalt stellt für die Postbeamtenversorgungskasse zum Schluss eines jeden Geschäftsjahres eine Haushaltsrechnung nach den Grundsätzen der Bundeshaushaltsordnung sowie eine Vermögensrechnung (Bilanz und Gewinn- und Verlustrechnung nach den für große Kapitalgesellschaften geltenden Vorschriften des Handelsgesetzbuchs) auf. Sie sind der Haushaltsrechnung des Bundes als Anhang beizufügen.</w:t>
      </w:r>
    </w:p>
    <w:p>
      <w:r>
        <w:t xml:space="preserve">(3) Die Präsidentin oder der Präsident stellt für die Postbeamtenversorgungskasse einen Jahresabschluss und einen Lagebericht auf. § 21 Absatz 1 und 3 und § 22 gelten mit der Maßgabe entsprechend, dass die Entlastung der Präsidentin oder des Präsidenten erst nach der Entlastung der Bundesregierung (Artikel 114 Absatz 1 des Grundgesetzes) erfolgen darf.</w:t>
      </w:r>
    </w:p>
    <w:p>
      <w:r>
        <w:rPr>
          <w:color w:val="555555"/>
          <w:sz w:val="17"/>
        </w:rPr>
        <w:t xml:space="preserve">Zitiervorschlag: § 10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