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BAPauschV — Inkrafttreten</w:t>
      </w:r>
    </w:p>
    <w:p>
      <w:r>
        <w:rPr>
          <w:color w:val="555555"/>
          <w:sz w:val="18"/>
        </w:rPr>
        <w:t xml:space="preserve">Verordnung über die Pauschalierung und Zahlung des Ausgleichsbetrags der Bundesagentur für Arbeit an die Träger der gesetzlichen Rentenversicherung für arbeitsmarktbedingte Renten wegen voller Erwerbsminderung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BAPauschV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https://recht.nulegal.eu/gesetze/BAPauschV/5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