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BAPauschV — Berechnung des Ausgleichsbetrags</w:t>
      </w:r>
    </w:p>
    <w:p>
      <w:r>
        <w:rPr>
          <w:color w:val="555555"/>
          <w:sz w:val="18"/>
        </w:rPr>
        <w:t xml:space="preserve">Verordnung über die Pauschalierung und Zahlung des Ausgleichsbetrags der Bundesagentur für Arbeit an die Träger der gesetzlichen Rentenversicherung für arbeitsmarktbedingte Renten wegen voller Erwerbsminderung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Für die Berechnung des jährlichen Ausgleichsbetrags (AB) in § 224 Abs. 1 des Sechsten Buches Sozialgesetzbuch sind zugrunde zu legen:</w:t>
      </w:r>
    </w:p>
    <w:p>
      <w:pPr>
        <w:ind w:left="420"/>
      </w:pPr>
      <w:r>
        <w:t xml:space="preserve">1. die Anzahl der im jeweiligen Kalenderjahr durch die Rentenversicherungsträger erstmals oder durch Rentenänderung neu zugegangenen arbeitsmarktbedingten Erwerbsminderungsrenten (AE),</w:t>
      </w:r>
    </w:p>
    <w:p>
      <w:pPr>
        <w:ind w:left="420"/>
      </w:pPr>
      <w:r>
        <w:t xml:space="preserve">2. die Hälfte der durchschnittlichen monatlichen Rente wegen voller Erwerbsminderung einschließlich der darauf entfallenden Beteiligung der Rentenversicherung an den Beiträgen zur Krankenversicherung (RA),</w:t>
      </w:r>
    </w:p>
    <w:p>
      <w:pPr>
        <w:ind w:left="420"/>
      </w:pPr>
      <w:r>
        <w:t xml:space="preserve">3. eine durchschnittliche Dauer des Anspruchs auf Arbeitslosengeld von 10,4 Monaten.</w:t>
      </w:r>
    </w:p>
    <w:p>
      <w:r>
        <w:t xml:space="preserve">(2) Der Ausgleichsbetrag wird nach folgender Formel berechnet:</w:t>
      </w:r>
    </w:p>
    <w:p>
      <w:pPr>
        <w:ind w:left="780"/>
      </w:pPr>
      <w:r>
        <w:t xml:space="preserve">AB = AE x RA x 10,4.</w:t>
      </w:r>
    </w:p>
    <w:p>
      <w:r>
        <w:t xml:space="preserve">(3) Die Deutsche Rentenversicherung Bund übermittelt die Angaben nach Absatz 1 Nr. 1 und 2 dem Bundesamt für Soziale Sicherung bis zum 30. Juni des auf das Jahr der Abschlagszahlung folgenden Jahres.</w:t>
      </w:r>
    </w:p>
    <w:p>
      <w:r>
        <w:rPr>
          <w:color w:val="555555"/>
          <w:sz w:val="17"/>
        </w:rPr>
        <w:t xml:space="preserve">Zitiervorschlag: § 1 BAPauschV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https://recht.nulegal.eu/gesetze/BAPauschV/1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