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BAMKostO</w:t>
      </w:r>
    </w:p>
    <w:p>
      <w:r>
        <w:rPr>
          <w:color w:val="555555"/>
          <w:sz w:val="18"/>
        </w:rPr>
        <w:t xml:space="preserve">Kostenverordnung für Nutzleistungen der Bundesanstalt für Materialforschung und -prüfung</w:t>
      </w:r>
    </w:p>
    <w:p>
      <w:r>
        <w:rPr>
          <w:color w:val="555555"/>
          <w:sz w:val="18"/>
        </w:rPr>
        <w:t xml:space="preserve">Historische Fassung: Stand 10.06.2019 bis 15.06.2021. Dies ist nicht die aktuelle Fassung.</w:t>
      </w:r>
    </w:p>
    <w:p>
      <w:r>
        <w:t xml:space="preserve">Auf Grund des § 28 Abs. 2 und 3 des Gesetzes über explosionsgefährliche Stoffe (Sprengstoffgesetz) vom 25. August 1969 (Bundesgesetzbl. I S. 1358) wird verordnet.</w:t>
      </w:r>
    </w:p>
    <w:p>
      <w:r>
        <w:rPr>
          <w:color w:val="555555"/>
          <w:sz w:val="17"/>
        </w:rPr>
        <w:t xml:space="preserve">Zitiervorschlag: Eingangsformel BAMKostO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https://recht.nulegal.eu/gesetze/BAMKostO/eingangsformel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