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BAMKostO — (zu § 2)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(Fundstelle: BGBl. I 2018, 373)</w:t>
      </w:r>
    </w:p>
    <w:p>
      <w:r>
        <w:t xml:space="preserve">Für Nutzleistungen der Organisationseinheiten (Abteilungen) der BAM werden die nachstehend aufgeführten Stundensätze berechnet:</w:t>
      </w:r>
    </w:p>
    <w:p>
      <w:r>
        <w:rPr>
          <w:rFonts w:ascii="Courier New" w:hAnsi="Courier New"/>
          <w:sz w:val="17"/>
        </w:rPr>
        <w:t xml:space="preserve">Organisationseinheit Abteilung    Bezeichnung der Organisationseinheit    Stundensatz in Euro</w:t>
      </w:r>
    </w:p>
    <w:p>
      <w:r>
        <w:rPr>
          <w:rFonts w:ascii="Courier New" w:hAnsi="Courier New"/>
          <w:sz w:val="17"/>
        </w:rPr>
        <w:t xml:space="preserve">1    Analytische Chemie; Referenzmaterialien    126</w:t>
      </w:r>
    </w:p>
    <w:p>
      <w:r>
        <w:rPr>
          <w:rFonts w:ascii="Courier New" w:hAnsi="Courier New"/>
          <w:sz w:val="17"/>
        </w:rPr>
        <w:t xml:space="preserve">2    Chemische Sicherheitstechnik    154</w:t>
      </w:r>
    </w:p>
    <w:p>
      <w:r>
        <w:rPr>
          <w:rFonts w:ascii="Courier New" w:hAnsi="Courier New"/>
          <w:sz w:val="17"/>
        </w:rPr>
        <w:t xml:space="preserve">3    Gefahrgutumschließungen    133</w:t>
      </w:r>
    </w:p>
    <w:p>
      <w:r>
        <w:rPr>
          <w:rFonts w:ascii="Courier New" w:hAnsi="Courier New"/>
          <w:sz w:val="17"/>
        </w:rPr>
        <w:t xml:space="preserve">4    Material und Umwelt    137</w:t>
      </w:r>
    </w:p>
    <w:p>
      <w:r>
        <w:rPr>
          <w:rFonts w:ascii="Courier New" w:hAnsi="Courier New"/>
          <w:sz w:val="17"/>
        </w:rPr>
        <w:t xml:space="preserve">5    Werkstofftechnik    149</w:t>
      </w:r>
    </w:p>
    <w:p>
      <w:r>
        <w:rPr>
          <w:rFonts w:ascii="Courier New" w:hAnsi="Courier New"/>
          <w:sz w:val="17"/>
        </w:rPr>
        <w:t xml:space="preserve">6    Materialschutz und Oberflächentechnik    131</w:t>
      </w:r>
    </w:p>
    <w:p>
      <w:r>
        <w:rPr>
          <w:rFonts w:ascii="Courier New" w:hAnsi="Courier New"/>
          <w:sz w:val="17"/>
        </w:rPr>
        <w:t xml:space="preserve">7    Bauwerkssicherheit    115</w:t>
      </w:r>
    </w:p>
    <w:p>
      <w:r>
        <w:rPr>
          <w:rFonts w:ascii="Courier New" w:hAnsi="Courier New"/>
          <w:sz w:val="17"/>
        </w:rPr>
        <w:t xml:space="preserve">8    Zerstörungsfreie Prüfung    132</w:t>
      </w:r>
    </w:p>
    <w:p>
      <w:r>
        <w:rPr>
          <w:rFonts w:ascii="Courier New" w:hAnsi="Courier New"/>
          <w:sz w:val="17"/>
        </w:rPr>
        <w:t xml:space="preserve">9    Komponentensicherheit    132</w:t>
      </w:r>
    </w:p>
    <w:p>
      <w:r>
        <w:rPr>
          <w:rFonts w:ascii="Courier New" w:hAnsi="Courier New"/>
          <w:sz w:val="17"/>
        </w:rPr>
        <w:t xml:space="preserve">S    Qualitätsinfrastruktur    138</w:t>
      </w:r>
    </w:p>
    <w:p>
      <w:r>
        <w:rPr>
          <w:color w:val="555555"/>
          <w:sz w:val="17"/>
        </w:rPr>
        <w:t xml:space="preserve">Zitiervorschlag: Anlage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