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BAMKostO — Gebühr nach Zeitaufwand, Reise- und Wartezeiten</w:t>
      </w:r>
    </w:p>
    <w:p>
      <w:r>
        <w:rPr>
          <w:color w:val="555555"/>
          <w:sz w:val="18"/>
        </w:rPr>
        <w:t xml:space="preserve">Kostenverordnung für Nutzleistungen der Bundesanstalt für Materialforschung und -prüfung</w:t>
      </w:r>
    </w:p>
    <w:p>
      <w:r>
        <w:rPr>
          <w:color w:val="555555"/>
          <w:sz w:val="18"/>
        </w:rPr>
        <w:t xml:space="preserve">Historische Fassung: Stand 10.06.2019 bis 15.06.2021. Dies ist nicht die aktuelle Fassung.</w:t>
      </w:r>
    </w:p>
    <w:p>
      <w:r>
        <w:t xml:space="preserve">(1) Beim Zeitaufwand werden folgende Tätigkeiten erfaßt:</w:t>
      </w:r>
    </w:p>
    <w:p>
      <w:pPr>
        <w:ind w:left="420"/>
      </w:pPr>
      <w:r>
        <w:t xml:space="preserve">1. vorbereitende Tätigkeiten (z. B. Schriftwechsel, Besprechungen, Literaturstudien, Aktendurchsicht, Prüfung von Unterlagen, Konstruktionen, Versuchsvorbereitung),</w:t>
      </w:r>
    </w:p>
    <w:p>
      <w:pPr>
        <w:ind w:left="420"/>
      </w:pPr>
      <w:r>
        <w:t xml:space="preserve">2. Ausführungsarbeiten (z. B. Werkstattarbeiten, Aufbau von Prüfanlagen, Durchführung der Untersuchung, Auswertung der Ergebnisse, Prüfung von Ergebnissen Dritter),</w:t>
      </w:r>
    </w:p>
    <w:p>
      <w:pPr>
        <w:ind w:left="420"/>
      </w:pPr>
      <w:r>
        <w:t xml:space="preserve">3. nachbereitende Tätigkeiten (z. B. Versuchsnachbereitung, Abbau der Prüfanlagen, Abfassen der Berichte und Gutachten, Erstellung der Zulassung, Anfertigung der Urkunden, Schreibarbeiten, Registratur).</w:t>
      </w:r>
    </w:p>
    <w:p>
      <w:r>
        <w:t xml:space="preserve">(2) Der Zeitaufwand wird in Stunden ermittelt. Angefangene Stunden werden anteilig erfaßt. Dabei ist auf volle Viertelstunden aufzurunden.</w:t>
      </w:r>
    </w:p>
    <w:p>
      <w:r>
        <w:t xml:space="preserve">(3) Bei Dauerversuchen, bei denen keine Personalkosten anfallen, können Maschinenstundensätze für die zeitliche Nutzung der technischen Ausstattung erhoben werden.</w:t>
      </w:r>
    </w:p>
    <w:p>
      <w:r>
        <w:t xml:space="preserve">(4) Bei Dauerstandsversuchen wird der notwendige Zeitaufwand entsprechend den speziellen Versuchsbedingungen ermittelt. Für die Gebührenberechnung werden die Stundensätze für Nutzleistungen der jeweiligen Organisationseinheit zugrunde gelegt.</w:t>
      </w:r>
    </w:p>
    <w:p>
      <w:r>
        <w:t xml:space="preserve">(5) Zum Zeitaufwand gehören auch die durch den jeweiligen Antrag verursachten Reisezeiten, die in der üblichen Arbeitszeit liegen, sowie die Wartezeiten, sofern sie vom Antragsteller verursacht worden sind.</w:t>
      </w:r>
    </w:p>
    <w:p>
      <w:r>
        <w:rPr>
          <w:color w:val="555555"/>
          <w:sz w:val="17"/>
        </w:rPr>
        <w:t xml:space="preserve">Zitiervorschlag: § 3 BAMKostO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https://recht.nulegal.eu/gesetze/BAMKostO/3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