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BAMKostO — Berechnung der Gebühren</w:t>
      </w:r>
    </w:p>
    <w:p>
      <w:r>
        <w:rPr>
          <w:color w:val="555555"/>
          <w:sz w:val="18"/>
        </w:rPr>
        <w:t xml:space="preserve">Kostenverordnung für Nutzleistungen der Bundesanstalt für Materialforschung und -prüfung</w:t>
      </w:r>
    </w:p>
    <w:p>
      <w:r>
        <w:rPr>
          <w:color w:val="555555"/>
          <w:sz w:val="18"/>
        </w:rPr>
        <w:t xml:space="preserve">Historische Fassung: Stand 10.06.2019 bis 15.06.2021. Dies ist nicht die aktuelle Fassung.</w:t>
      </w:r>
    </w:p>
    <w:p>
      <w:r>
        <w:t xml:space="preserve">(1) Die Gebühr wird auf der Grundlage der in der Anlage zu dieser Kostenverordnung für die einzelnen Organisationseinheiten aufgeführten Stundensätze nach Zeitaufwand berechnet. Die Stundensätze enthalten alle in der jeweiligen Organisationseinheit anfallenden Kosten.</w:t>
      </w:r>
    </w:p>
    <w:p>
      <w:r>
        <w:t xml:space="preserve">(2) Werden für einzelne Nutzleistungen Durchschnittskosten (Pauschalbeträge) ermittelt, werden nur diese abgerechnet.</w:t>
      </w:r>
    </w:p>
    <w:p>
      <w:r>
        <w:t xml:space="preserve">(3) Die Gebühr kann im Einzelfall erhöht (§ 6) oder ermäßigt werden (§ 7).</w:t>
      </w:r>
    </w:p>
    <w:p>
      <w:r>
        <w:rPr>
          <w:color w:val="555555"/>
          <w:sz w:val="17"/>
        </w:rPr>
        <w:t xml:space="preserve">Zitiervorschlag: § 2 BAMKostO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https://recht.nulegal.eu/gesetze/BAMKostO/2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