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BAMKostO — Erstattung</w:t>
      </w:r>
    </w:p>
    <w:p>
      <w:r>
        <w:rPr>
          <w:color w:val="555555"/>
          <w:sz w:val="18"/>
        </w:rPr>
        <w:t xml:space="preserve">Kostenverordnung für Nutzleistungen der Bundesanstalt für Materialforschung und -prüfung</w:t>
      </w:r>
    </w:p>
    <w:p>
      <w:r>
        <w:rPr>
          <w:color w:val="555555"/>
          <w:sz w:val="18"/>
        </w:rPr>
        <w:t xml:space="preserve">Historische Fassung: Stand 10.06.2019 bis 15.06.2021. Dies ist nicht die aktuelle Fassung.</w:t>
      </w:r>
    </w:p>
    <w:p>
      <w:r>
        <w:t xml:space="preserve">(1) Überzahlte oder zu Unrecht erhobene Gebühren sind unverzüglich zu erstatten, zu Unrecht erhobene Gebühren jedoch nur, soweit eine Gebührenfestsetzung noch nicht unanfechtbar geworden ist; nach diesem Zeitpunkt können zu Unrecht erhobene Gebühren nur aus Billigkeitsgründen erstattet werden.</w:t>
      </w:r>
    </w:p>
    <w:p>
      <w:r>
        <w:t xml:space="preserve">(2) Der Erstattungsanspruch erlischt durch Verjährung, wenn er nicht bis zum Ablauf des dritten Kalenderjahrs geltend gemacht wird, das auf die Entstehung des Anspruchs folgt; die Verjährung beginnt jedoch nicht vor der Unanfechtbarkeit der Gebührenfestsetzung.</w:t>
      </w:r>
    </w:p>
    <w:p>
      <w:r>
        <w:rPr>
          <w:color w:val="555555"/>
          <w:sz w:val="17"/>
        </w:rPr>
        <w:t xml:space="preserve">Zitiervorschlag: § 15 BAMKostO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https://recht.nulegal.eu/gesetze/BAMKostO/15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