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 BAMKostO — Stundung, Niederschlagung und Erlaß</w:t>
      </w:r>
    </w:p>
    <w:p>
      <w:r>
        <w:rPr>
          <w:color w:val="555555"/>
          <w:sz w:val="18"/>
        </w:rPr>
        <w:t xml:space="preserve">Kostenverordnung für Nutzleistungen der Bundesanstalt für Materialforschung und -prüfung</w:t>
      </w:r>
    </w:p>
    <w:p>
      <w:r>
        <w:rPr>
          <w:color w:val="555555"/>
          <w:sz w:val="18"/>
        </w:rPr>
        <w:t xml:space="preserve">Historische Fassung: Stand 10.06.2019 bis 15.06.2021. Dies ist nicht die aktuelle Fassung.</w:t>
      </w:r>
    </w:p>
    <w:p>
      <w:r>
        <w:t xml:space="preserve">Auf die Stundung, die Niederschlagung und den Erlaß von Forderungen der Bundesanstalt auf Zahlung von Gebühren nach dieser Kostenordnung sind die Vorschriften der Bundeshaushaltsordnung entsprechend anzuwenden.</w:t>
      </w:r>
    </w:p>
    <w:p>
      <w:r>
        <w:rPr>
          <w:color w:val="555555"/>
          <w:sz w:val="17"/>
        </w:rPr>
        <w:t xml:space="preserve">Zitiervorschlag: § 12 BAMKostO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https://recht.nulegal.eu/gesetze/BAMKostO/12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