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BAMKostO — Festsetzung der Gebühren, Fälligkeit und Vorschuss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Die Gebühren werden durch schriftlichen Bescheid festgesetzt. Aus dem Bescheid muss mindestens hervorgehen:</w:t>
      </w:r>
    </w:p>
    <w:p>
      <w:pPr>
        <w:ind w:left="420"/>
      </w:pPr>
      <w:r>
        <w:t xml:space="preserve">1. der Gebührenschuldner,</w:t>
      </w:r>
    </w:p>
    <w:p>
      <w:pPr>
        <w:ind w:left="420"/>
      </w:pPr>
      <w:r>
        <w:t xml:space="preserve">2. die gebührenpflichtige Nutzleistung,</w:t>
      </w:r>
    </w:p>
    <w:p>
      <w:pPr>
        <w:ind w:left="420"/>
      </w:pPr>
      <w:r>
        <w:t xml:space="preserve">3. die Höhe der als Gebühren zu zahlenden Beträge,</w:t>
      </w:r>
    </w:p>
    <w:p>
      <w:pPr>
        <w:ind w:left="420"/>
      </w:pPr>
      <w:r>
        <w:t xml:space="preserve">4. die Rechtsgrundlage für die Erhebung der Gebühren sowie deren Berechnung,</w:t>
      </w:r>
    </w:p>
    <w:p>
      <w:pPr>
        <w:ind w:left="420"/>
      </w:pPr>
      <w:r>
        <w:t xml:space="preserve">5. wo, wann und wie die Gebühren zu zahlen sind.</w:t>
      </w:r>
    </w:p>
    <w:p>
      <w:r>
        <w:t xml:space="preserve">(2) Die Gebühren werden mit der Bekanntgabe der Gebührenfestsetzung an den Gebührenschuldner fällig, wenn nicht die Bundesanstalt einen späteren Zeitpunkt bestimmt.</w:t>
      </w:r>
    </w:p>
    <w:p>
      <w:r>
        <w:t xml:space="preserve">(3) Die Erbringung einer Nutzleistung kann von der Zahlung eines angemessenen Vorschusses oder von einer angemessenen Sicherheitsleistung bis zur Höhe der voraussichtlich entstehenden Gebühren abhängig gemacht werden.</w:t>
      </w:r>
    </w:p>
    <w:p>
      <w:r>
        <w:t xml:space="preserve">(4) Die Aushändigung eines Gutachtens oder die Bekanntgabe der Prüfungsergebnisse kann zurückgestellt werden, bis die durch die Nutzleistung erwachsenen Gebühren bezahlt sind.</w:t>
      </w:r>
    </w:p>
    <w:p>
      <w:r>
        <w:rPr>
          <w:color w:val="555555"/>
          <w:sz w:val="17"/>
        </w:rPr>
        <w:t xml:space="preserve">Zitiervorschlag: § 11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